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2"/>
        <w:pBdr/>
        <w:spacing w:line="276" w:lineRule="auto"/>
        <w:ind/>
        <w:jc w:val="center"/>
        <w:rPr>
          <w:b/>
          <w:color w:val="000000" w:themeColor="text1"/>
        </w:rPr>
      </w:pPr>
      <w:r>
        <w:rPr>
          <w:b/>
        </w:rPr>
        <w:t xml:space="preserve">ПРОТОКОЛ №</w:t>
      </w:r>
      <w:r>
        <w:rPr>
          <w:b/>
          <w:color w:val="ff0000"/>
        </w:rPr>
        <w:t xml:space="preserve"> </w:t>
      </w:r>
      <w:r>
        <w:rPr>
          <w:b/>
          <w:color w:val="000000" w:themeColor="text1"/>
        </w:rPr>
        <w:t xml:space="preserve">13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952"/>
        <w:pBdr/>
        <w:spacing w:line="276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>
        <w:rPr>
          <w:b/>
          <w:sz w:val="28"/>
          <w:szCs w:val="28"/>
        </w:rPr>
        <w:t xml:space="preserve">дисциплинарной комиссии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52"/>
        <w:pBdr/>
        <w:spacing w:line="276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Ассоциация</w:t>
      </w:r>
      <w:r>
        <w:rPr>
          <w:b/>
          <w:sz w:val="28"/>
          <w:szCs w:val="28"/>
        </w:rPr>
        <w:t xml:space="preserve"> «КубаньСтройИзыскания»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52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/>
        <w:rPr>
          <w:b/>
        </w:rPr>
      </w:pPr>
      <w:r>
        <w:rPr>
          <w:b/>
        </w:rPr>
        <w:t xml:space="preserve">г. Краснодар                                                                   </w:t>
      </w:r>
      <w:r>
        <w:rPr>
          <w:b/>
        </w:rPr>
        <w:t xml:space="preserve">                           14</w:t>
      </w:r>
      <w:r>
        <w:rPr>
          <w:b/>
        </w:rPr>
        <w:t xml:space="preserve"> сентября</w:t>
      </w:r>
      <w:r>
        <w:rPr>
          <w:b/>
        </w:rPr>
        <w:t xml:space="preserve"> 20</w:t>
      </w:r>
      <w:r>
        <w:rPr>
          <w:b/>
          <w:lang w:val="en-US"/>
        </w:rPr>
        <w:t xml:space="preserve">2</w:t>
      </w:r>
      <w:r>
        <w:rPr>
          <w:b/>
        </w:rPr>
        <w:t xml:space="preserve">6</w:t>
      </w:r>
      <w:r>
        <w:rPr>
          <w:b/>
        </w:rPr>
        <w:t xml:space="preserve"> года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/>
        <w:rPr/>
      </w:pPr>
      <w:r/>
      <w:r/>
    </w:p>
    <w:p>
      <w:pPr>
        <w:pStyle w:val="952"/>
        <w:pBdr/>
        <w:spacing/>
        <w:ind/>
        <w:rPr/>
      </w:pPr>
      <w:r/>
      <w:r/>
    </w:p>
    <w:p w14:paraId="5AB33F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Председатель заседания – Председатель Дисциплинарной комиссии  Томилко Е.А. </w:t>
      </w:r>
      <w:r/>
    </w:p>
    <w:p w14:paraId="2270B14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 </w:t>
      </w:r>
      <w:r/>
    </w:p>
    <w:p w14:paraId="08CE5CE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708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Присутствовали: </w:t>
      </w:r>
      <w:r/>
    </w:p>
    <w:p w14:paraId="6009859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Члены Дисциплинарной комиссии:</w:t>
      </w:r>
      <w:r/>
    </w:p>
    <w:p w14:paraId="22D7C59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Лихо И.В. (МУП «Павловский АГЦ»),</w:t>
      </w:r>
      <w:r>
        <w:rPr>
          <w:rFonts w:ascii="Tahoma" w:hAnsi="Tahoma" w:eastAsia="Tahoma" w:cs="Tahoma"/>
          <w:color w:val="666666"/>
          <w:sz w:val="18"/>
          <w:highlight w:val="white"/>
        </w:rPr>
        <w:t xml:space="preserve"> </w:t>
      </w:r>
      <w:r/>
    </w:p>
    <w:p>
      <w:pPr>
        <w:pStyle w:val="952"/>
        <w:pBdr/>
        <w:spacing/>
        <w:ind/>
        <w:rPr>
          <w:b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Лукашов А.В. (ИП Лукашов А.В.)</w:t>
      </w:r>
      <w:r>
        <w:t xml:space="preserve">.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8"/>
        <w:pBdr/>
        <w:spacing/>
        <w:ind w:firstLine="708" w:left="0"/>
        <w:jc w:val="both"/>
        <w:rPr>
          <w:b/>
        </w:rPr>
      </w:pPr>
      <w:r>
        <w:rPr>
          <w:b/>
        </w:rPr>
        <w:t xml:space="preserve">Приглашенные:</w:t>
      </w:r>
      <w:r>
        <w:rPr>
          <w:b/>
        </w:rPr>
      </w:r>
      <w:r>
        <w:rPr>
          <w:b/>
        </w:rPr>
      </w:r>
    </w:p>
    <w:p>
      <w:pPr>
        <w:pStyle w:val="978"/>
        <w:pBdr/>
        <w:spacing/>
        <w:ind w:left="0"/>
        <w:jc w:val="both"/>
        <w:rPr/>
      </w:pPr>
      <w:r>
        <w:t xml:space="preserve">Хлебник</w:t>
      </w:r>
      <w:r>
        <w:t xml:space="preserve">ова Т.П. – г</w:t>
      </w:r>
      <w:r>
        <w:t xml:space="preserve">енеральный директор </w:t>
      </w:r>
      <w:r>
        <w:t xml:space="preserve">СРО Ассоциация</w:t>
      </w:r>
      <w:r>
        <w:t xml:space="preserve"> «КубаньСтройИзыскания»,</w:t>
      </w:r>
      <w:r/>
    </w:p>
    <w:p>
      <w:pPr>
        <w:pStyle w:val="952"/>
        <w:pBdr/>
        <w:spacing/>
        <w:ind/>
        <w:rPr/>
      </w:pPr>
      <w:r>
        <w:t xml:space="preserve">Тегай А.И.</w:t>
      </w:r>
      <w:r>
        <w:t xml:space="preserve"> –</w:t>
      </w:r>
      <w:r>
        <w:t xml:space="preserve"> </w:t>
      </w:r>
      <w:r>
        <w:t xml:space="preserve">ведущий </w:t>
      </w:r>
      <w:r>
        <w:t xml:space="preserve">инженер </w:t>
      </w:r>
      <w:r>
        <w:t xml:space="preserve">СРО Ассоциация</w:t>
      </w:r>
      <w:r>
        <w:t xml:space="preserve"> «КубаньСтройИзыскания»</w:t>
      </w:r>
      <w:r/>
    </w:p>
    <w:p>
      <w:pPr>
        <w:pStyle w:val="978"/>
        <w:pBdr/>
        <w:spacing/>
        <w:ind w:left="0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8"/>
        <w:pBdr/>
        <w:spacing/>
        <w:ind w:left="0"/>
        <w:jc w:val="both"/>
        <w:rPr/>
      </w:pPr>
      <w:r>
        <w:t xml:space="preserve">Время проведения заседания – </w:t>
      </w:r>
      <w:r>
        <w:t xml:space="preserve">10</w:t>
      </w:r>
      <w:r>
        <w:t xml:space="preserve">-</w:t>
      </w:r>
      <w:r>
        <w:t xml:space="preserve">0</w:t>
      </w:r>
      <w:r>
        <w:t xml:space="preserve">0</w:t>
      </w:r>
      <w:r/>
    </w:p>
    <w:p>
      <w:pPr>
        <w:pStyle w:val="978"/>
        <w:pBdr/>
        <w:spacing/>
        <w:ind w:firstLine="567" w:left="0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8"/>
        <w:pBdr/>
        <w:spacing/>
        <w:ind w:firstLine="567" w:left="0"/>
        <w:jc w:val="both"/>
        <w:rPr>
          <w:b/>
        </w:rPr>
      </w:pPr>
      <w:r>
        <w:rPr>
          <w:b/>
        </w:rPr>
        <w:t xml:space="preserve">На заседании присутствуют 3</w:t>
      </w:r>
      <w:r>
        <w:rPr>
          <w:b/>
        </w:rPr>
        <w:t xml:space="preserve"> член</w:t>
      </w:r>
      <w:r>
        <w:rPr>
          <w:b/>
        </w:rPr>
        <w:t xml:space="preserve">а</w:t>
      </w:r>
      <w:r>
        <w:rPr>
          <w:b/>
        </w:rPr>
        <w:t xml:space="preserve"> </w:t>
      </w:r>
      <w:r>
        <w:rPr>
          <w:b/>
        </w:rPr>
        <w:t xml:space="preserve">дисциплинарной комиссии</w:t>
      </w:r>
      <w:r>
        <w:rPr>
          <w:b/>
        </w:rPr>
        <w:t xml:space="preserve">. Кворум имеется. </w:t>
      </w:r>
      <w:r>
        <w:rPr>
          <w:b/>
        </w:rPr>
        <w:t xml:space="preserve">Комиссия</w:t>
      </w:r>
      <w:r>
        <w:rPr>
          <w:b/>
        </w:rPr>
        <w:t xml:space="preserve"> </w:t>
      </w:r>
      <w:r>
        <w:rPr>
          <w:b/>
        </w:rPr>
        <w:t xml:space="preserve">правомочна </w:t>
      </w:r>
      <w:r>
        <w:rPr>
          <w:b/>
        </w:rPr>
        <w:t xml:space="preserve">принимать решения.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hanging="567" w:left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left="567"/>
        <w:jc w:val="both"/>
        <w:rPr>
          <w:b/>
        </w:rPr>
      </w:pPr>
      <w:r>
        <w:rPr>
          <w:b/>
        </w:rPr>
        <w:t xml:space="preserve">Повестка дня: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rPr>
          <w:bCs/>
        </w:rPr>
      </w:pPr>
      <w:r>
        <w:rPr>
          <w:bCs/>
        </w:rPr>
        <w:t xml:space="preserve">1. </w:t>
      </w:r>
      <w:r>
        <w:rPr>
          <w:bCs/>
        </w:rPr>
        <w:t xml:space="preserve">Избрание лица, ответственного за подсчет голосов по вопросам повестки дня</w:t>
      </w:r>
      <w:r>
        <w:rPr>
          <w:bCs/>
        </w:rPr>
        <w:t xml:space="preserve">;</w:t>
      </w:r>
      <w:r>
        <w:rPr>
          <w:bCs/>
        </w:rPr>
      </w:r>
      <w:r>
        <w:rPr>
          <w:bCs/>
        </w:rPr>
      </w:r>
    </w:p>
    <w:p>
      <w:pPr>
        <w:pStyle w:val="952"/>
        <w:pBdr/>
        <w:spacing/>
        <w:ind w:firstLine="567"/>
        <w:rPr>
          <w:bCs/>
        </w:rPr>
      </w:pPr>
      <w:r>
        <w:rPr>
          <w:color w:val="000000"/>
        </w:rPr>
        <w:t xml:space="preserve">2</w:t>
      </w:r>
      <w:r>
        <w:rPr>
          <w:color w:val="000000"/>
        </w:rPr>
        <w:t xml:space="preserve">. </w:t>
      </w:r>
      <w:r>
        <w:rPr>
          <w:bCs/>
        </w:rPr>
        <w:t xml:space="preserve">Рассмотрение материалов и акта проверки члена Ассоциации – </w:t>
      </w:r>
      <w:r>
        <w:t xml:space="preserve">ООО «ЮЖГЕОЛКОМ</w:t>
      </w:r>
      <w:r>
        <w:t xml:space="preserve">».</w:t>
      </w:r>
      <w:r>
        <w:rPr>
          <w:bCs/>
        </w:rPr>
      </w:r>
      <w:r>
        <w:rPr>
          <w:bCs/>
        </w:rPr>
      </w:r>
    </w:p>
    <w:p>
      <w:pPr>
        <w:pStyle w:val="952"/>
        <w:pBdr/>
        <w:spacing/>
        <w:ind w:firstLine="567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  <w:t xml:space="preserve">Первый вопрос.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  <w:t xml:space="preserve">Слушали: 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>
          <w:lang w:val="en-US"/>
        </w:rPr>
      </w:pPr>
      <w:r>
        <w:t xml:space="preserve">Томилко Е.А. о необходимости избрания лица, ответственного за подсчет голосов по вопросам повестки дня.</w:t>
      </w:r>
      <w:r>
        <w:rPr>
          <w:lang w:val="en-US"/>
        </w:rPr>
      </w:r>
      <w:r>
        <w:rPr>
          <w:lang w:val="en-US"/>
        </w:rPr>
      </w:r>
    </w:p>
    <w:p>
      <w:pPr>
        <w:pStyle w:val="952"/>
        <w:pBdr/>
        <w:spacing/>
        <w:ind w:firstLine="567"/>
        <w:jc w:val="both"/>
        <w:rPr/>
      </w:pPr>
      <w:r>
        <w:tab/>
      </w:r>
      <w:r/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  <w:t xml:space="preserve">Решение: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/>
      </w:pPr>
      <w:r>
        <w:t xml:space="preserve">Избрать ответственным за подсчет голосов по вопросам повестки дня</w:t>
      </w:r>
      <w:r>
        <w:t xml:space="preserve"> </w:t>
      </w:r>
      <w:r>
        <w:t xml:space="preserve">члена Дисциплинарной комиссии </w:t>
      </w:r>
      <w:r>
        <w:t xml:space="preserve">Томилко</w:t>
      </w:r>
      <w:r>
        <w:t xml:space="preserve"> Е.А.</w:t>
      </w:r>
      <w:r/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/>
      </w:pPr>
      <w:r>
        <w:rPr>
          <w:b/>
        </w:rPr>
        <w:t xml:space="preserve">Результаты голосования: «</w:t>
      </w:r>
      <w:r>
        <w:t xml:space="preserve">ЗА» - </w:t>
      </w:r>
      <w:r>
        <w:t xml:space="preserve">3</w:t>
      </w:r>
      <w:r>
        <w:t xml:space="preserve">, «Против» - нет, «Воздержался» - нет.</w:t>
      </w:r>
      <w:r/>
    </w:p>
    <w:p w14:paraId="574213C6">
      <w:pPr>
        <w:pStyle w:val="952"/>
        <w:pBdr/>
        <w:spacing/>
        <w:ind w:firstLine="567"/>
        <w:jc w:val="both"/>
        <w:rPr>
          <w:b/>
          <w:bCs/>
        </w:rPr>
      </w:pPr>
      <w:r>
        <w:rPr>
          <w:b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2"/>
        <w:pBdr/>
        <w:spacing/>
        <w:ind w:firstLine="567"/>
        <w:jc w:val="both"/>
        <w:rPr>
          <w:b/>
          <w:bCs/>
        </w:rPr>
      </w:pPr>
      <w:r>
        <w:rPr>
          <w:b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  <w:t xml:space="preserve">Второй вопрос.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708"/>
        <w:jc w:val="both"/>
        <w:rPr>
          <w:b/>
        </w:rPr>
      </w:pPr>
      <w:r>
        <w:rPr>
          <w:b/>
        </w:rPr>
        <w:t xml:space="preserve">Слушали: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708"/>
        <w:jc w:val="both"/>
        <w:rPr/>
      </w:pPr>
      <w:r>
        <w:rPr>
          <w:bCs/>
        </w:rPr>
        <w:t xml:space="preserve">Тегай А.И. о результатах проведенной плановой проверки </w:t>
      </w:r>
      <w:r>
        <w:t xml:space="preserve">ОО</w:t>
      </w:r>
      <w:r>
        <w:t xml:space="preserve">О «</w:t>
      </w:r>
      <w:r>
        <w:t xml:space="preserve">ЮЖГЕОЛКОМ</w:t>
      </w:r>
      <w:r/>
      <w:r/>
      <w:r>
        <w:t xml:space="preserve">»</w:t>
      </w:r>
      <w:r>
        <w:t xml:space="preserve">.</w:t>
      </w:r>
      <w:r/>
    </w:p>
    <w:p>
      <w:pPr>
        <w:pStyle w:val="952"/>
        <w:pBdr/>
        <w:spacing/>
        <w:ind w:firstLine="708"/>
        <w:rPr/>
      </w:pPr>
      <w:r>
        <w:t xml:space="preserve">В результате проведенной плановой камеральной проверки члена Ассоциации </w:t>
      </w:r>
      <w:r>
        <w:t xml:space="preserve">ОО</w:t>
      </w:r>
      <w:r>
        <w:t xml:space="preserve">О «</w:t>
      </w:r>
      <w:r>
        <w:t xml:space="preserve">ЮЖГЕОЛКОМ</w:t>
      </w:r>
      <w:r/>
      <w:r/>
      <w:r>
        <w:t xml:space="preserve">»</w:t>
      </w:r>
      <w:r>
        <w:t xml:space="preserve"> выявлены нарушения, предусмотренные </w:t>
      </w:r>
      <w:r>
        <w:t xml:space="preserve">, п. 1 и 2 ч.6 ст. 55.5 Градостроительного Кодекса РФ. </w:t>
      </w:r>
      <w:r>
        <w:t xml:space="preserve">Предприятием не обеспечено своевременное прохождение независимой оценки квалификации минимум двух специалистов по организации инженерных изысканий, сведения о которых включены в национальный реестр специалистов</w:t>
      </w:r>
      <w:r>
        <w:t xml:space="preserve">. </w:t>
      </w:r>
      <w:r/>
    </w:p>
    <w:p>
      <w:pPr>
        <w:pStyle w:val="952"/>
        <w:pBdr/>
        <w:spacing/>
        <w:ind w:firstLine="708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/>
      </w:pPr>
      <w:r>
        <w:rPr>
          <w:b/>
        </w:rPr>
        <w:t xml:space="preserve">Выступили:</w:t>
      </w:r>
      <w:r>
        <w:t xml:space="preserve"> </w:t>
      </w:r>
      <w:r>
        <w:t xml:space="preserve">Лукашов А.В.</w:t>
      </w:r>
      <w:r>
        <w:t xml:space="preserve">, Лихо И.В.: предложили </w:t>
      </w:r>
      <w:r>
        <w:t xml:space="preserve">применить меру дисциплинарного воздействия, предусмотренную п. 2.</w:t>
      </w:r>
      <w:r>
        <w:t xml:space="preserve">3</w:t>
      </w:r>
      <w:r>
        <w:t xml:space="preserve"> Положения о применении мер дисциплинарного воздействия в отношении членов Ассоциации, в виде </w:t>
      </w:r>
      <w:r>
        <w:t xml:space="preserve">вынесения предписания</w:t>
      </w:r>
      <w:r>
        <w:t xml:space="preserve">. </w:t>
      </w:r>
      <w:r>
        <w:t xml:space="preserve">Установить срок на устранение нарушения в 60 календарных дней до 10</w:t>
      </w:r>
      <w:r>
        <w:t xml:space="preserve"> ноября 202</w:t>
      </w:r>
      <w:r>
        <w:t xml:space="preserve">6</w:t>
      </w:r>
      <w:r>
        <w:t xml:space="preserve">г. </w:t>
      </w:r>
      <w:r>
        <w:t xml:space="preserve">Неисполнение членом </w:t>
      </w:r>
      <w:r>
        <w:t xml:space="preserve">Ассоциации</w:t>
      </w:r>
      <w:r>
        <w:t xml:space="preserve"> требований </w:t>
      </w:r>
      <w:r>
        <w:t xml:space="preserve">об устранении</w:t>
      </w:r>
      <w:r>
        <w:t xml:space="preserve"> </w:t>
      </w:r>
      <w:r>
        <w:t xml:space="preserve"> нарушений в установленный срок </w:t>
      </w:r>
      <w:r>
        <w:t xml:space="preserve">является нарушением обязательных требований внутренних документов </w:t>
      </w:r>
      <w:r>
        <w:t xml:space="preserve">Ассоциации</w:t>
      </w:r>
      <w:r>
        <w:t xml:space="preserve"> и подлежит рассмотрению </w:t>
      </w:r>
      <w:r>
        <w:t xml:space="preserve">Дисциплинарной комиссией в целях применения дальнейших мер дисцип</w:t>
      </w:r>
      <w:r>
        <w:t xml:space="preserve">линарного воздействия</w:t>
      </w:r>
      <w:r>
        <w:t xml:space="preserve"> на такого члена Ассоциации</w:t>
      </w:r>
      <w:r>
        <w:t xml:space="preserve">.</w:t>
      </w:r>
      <w:r/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/>
      </w:pPr>
      <w:r>
        <w:rPr>
          <w:b/>
        </w:rPr>
        <w:t xml:space="preserve">Решение:</w:t>
      </w:r>
      <w:r/>
    </w:p>
    <w:p>
      <w:pPr>
        <w:pBdr/>
        <w:spacing/>
        <w:ind w:firstLine="567"/>
        <w:jc w:val="both"/>
        <w:rPr/>
      </w:pPr>
      <w:r>
        <w:t xml:space="preserve">Вынести </w:t>
      </w:r>
      <w:r>
        <w:t xml:space="preserve">предписание</w:t>
      </w:r>
      <w:r>
        <w:t xml:space="preserve"> в отношении</w:t>
      </w:r>
      <w:r>
        <w:t xml:space="preserve"> ООО «</w:t>
      </w:r>
      <w:r>
        <w:t xml:space="preserve">ЮЖГЕОЛКОМ</w:t>
      </w:r>
      <w:r>
        <w:t xml:space="preserve">» (ИНН </w:t>
      </w:r>
      <w:r>
        <w:rPr>
          <w:lang w:val="undefined"/>
        </w:rPr>
        <w:t xml:space="preserve">2320152486</w:t>
      </w:r>
      <w:r>
        <w:t xml:space="preserve">)</w:t>
      </w:r>
      <w:r>
        <w:rPr>
          <w:lang w:val="ru-RU"/>
        </w:rPr>
        <w:t xml:space="preserve"> и у</w:t>
      </w:r>
      <w:r>
        <w:t xml:space="preserve">становить срок на устранение нарушения в 60 календарных дней до 10</w:t>
      </w:r>
      <w:r>
        <w:t xml:space="preserve"> ноября 202</w:t>
      </w:r>
      <w:r>
        <w:t xml:space="preserve">6</w:t>
      </w:r>
      <w:r>
        <w:t xml:space="preserve">г.</w:t>
      </w:r>
      <w:r>
        <w:rPr>
          <w:lang w:val="ru-RU"/>
        </w:rPr>
      </w:r>
      <w:r/>
    </w:p>
    <w:p>
      <w:pPr>
        <w:pStyle w:val="952"/>
        <w:pBdr/>
        <w:spacing/>
        <w:ind w:firstLine="567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 w:firstLine="567"/>
        <w:jc w:val="both"/>
        <w:rPr/>
      </w:pPr>
      <w:r>
        <w:rPr>
          <w:b/>
        </w:rPr>
        <w:t xml:space="preserve">Результаты голосования: «</w:t>
      </w:r>
      <w:r>
        <w:t xml:space="preserve">ЗА» - 3, «Против» - нет, «Воздержался» - нет</w:t>
      </w:r>
      <w:r/>
    </w:p>
    <w:p w14:paraId="29D6022D">
      <w:pPr>
        <w:pStyle w:val="952"/>
        <w:pBdr/>
        <w:spacing/>
        <w:ind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52"/>
        <w:pBdr/>
        <w:spacing/>
        <w:ind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52"/>
        <w:pBdr/>
        <w:spacing/>
        <w:ind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52"/>
        <w:pBdr/>
        <w:spacing/>
        <w:ind/>
        <w:jc w:val="both"/>
        <w:rPr>
          <w:b/>
        </w:rPr>
      </w:pPr>
      <w:r>
        <w:rPr>
          <w:b/>
        </w:rPr>
        <w:t xml:space="preserve">Председатель Дисциплинарной комисси</w:t>
      </w:r>
      <w:r>
        <w:rPr>
          <w:b/>
        </w:rPr>
        <w:t xml:space="preserve">и                           </w:t>
      </w:r>
      <w:r>
        <w:rPr>
          <w:b/>
        </w:rPr>
        <w:t xml:space="preserve">               </w:t>
        <w:tab/>
        <w:tab/>
        <w:t xml:space="preserve">Томилко Е.А.</w:t>
      </w:r>
      <w:r>
        <w:rPr>
          <w:b/>
        </w:rPr>
      </w:r>
      <w:r>
        <w:rPr>
          <w:b/>
        </w:rPr>
      </w:r>
    </w:p>
    <w:p>
      <w:pPr>
        <w:pStyle w:val="952"/>
        <w:pBdr/>
        <w:spacing/>
        <w:ind/>
        <w:jc w:val="both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sectPr>
      <w:footerReference w:type="default" r:id="rId9"/>
      <w:footnotePr/>
      <w:endnotePr>
        <w:numFmt w:val="decimal"/>
      </w:endnotePr>
      <w:type w:val="nextPage"/>
      <w:pgSz w:h="16838" w:orient="portrait" w:w="11906"/>
      <w:pgMar w:top="567" w:right="567" w:bottom="567" w:left="1134" w:header="720" w:footer="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imSun">
    <w:panose1 w:val="02010600030101010101"/>
  </w:font>
  <w:font w:name="Tahoma">
    <w:panose1 w:val="020B0604030504040204"/>
  </w:font>
  <w:font w:name="Times New Roman">
    <w:panose1 w:val="02020603050405020304"/>
  </w:font>
  <w:font w:name="Wingdings">
    <w:panose1 w:val="05000000000000000000"/>
  </w:font>
  <w:font w:name="Mangal">
    <w:panose1 w:val="02040503050406030204"/>
  </w:font>
  <w:font w:name="OpenSymbol">
    <w:panose1 w:val="05010000000000000000"/>
  </w:font>
  <w:font w:name="Courier New">
    <w:panose1 w:val="02070309020205020404"/>
  </w:font>
  <w:font w:name="Symbol">
    <w:panose1 w:val="05050102010706020507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983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pStyle w:val="953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1">
    <w:nsid w:val="00000002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84" w:left="684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0000000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6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3">
    <w:nsid w:val="01EC68F5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4">
    <w:nsid w:val="0ABE3B05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13B65D20"/>
    <w:lvl w:ilvl="0">
      <w:isLgl w:val="false"/>
      <w:lvlJc w:val="left"/>
      <w:lvlText w:val="%1."/>
      <w:numFmt w:val="decimal"/>
      <w:pPr>
        <w:pBdr/>
        <w:spacing/>
        <w:ind w:hanging="684" w:left="684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6">
    <w:nsid w:val="1CF81654"/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7">
    <w:nsid w:val="1EA44313"/>
    <w:lvl w:ilvl="0">
      <w:isLgl w:val="false"/>
      <w:lvlJc w:val="left"/>
      <w:lvlText w:val=""/>
      <w:numFmt w:val="bullet"/>
      <w:pPr>
        <w:pBdr/>
        <w:spacing/>
        <w:ind w:hanging="360" w:left="108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ascii="Wingdings" w:hAnsi="Wingdings"/>
      </w:rPr>
      <w:start w:val="1"/>
      <w:suff w:val="tab"/>
    </w:lvl>
  </w:abstractNum>
  <w:abstractNum w:abstractNumId="8">
    <w:nsid w:val="1EAA12F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1FC21112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0">
    <w:nsid w:val="261373A4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1">
    <w:nsid w:val="2FED4DA3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2">
    <w:nsid w:val="3E5325CA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3">
    <w:nsid w:val="42AF666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469B71D6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5">
    <w:nsid w:val="5D7B0CB8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6">
    <w:nsid w:val="5EAC48BD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7">
    <w:nsid w:val="64DE6B97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18">
    <w:nsid w:val="64FC6382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6C2634DE"/>
    <w:lvl w:ilvl="0">
      <w:isLgl w:val="false"/>
      <w:lvlJc w:val="left"/>
      <w:lvlText w:val="%1."/>
      <w:numFmt w:val="decimal"/>
      <w:pPr>
        <w:pBdr/>
        <w:spacing/>
        <w:ind w:hanging="360" w:left="927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0">
    <w:nsid w:val="6F4E58D3"/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21">
    <w:nsid w:val="775A1645"/>
    <w:lvl w:ilvl="0">
      <w:isLgl w:val="false"/>
      <w:lvlJc w:val="left"/>
      <w:lvlText w:val="%1."/>
      <w:numFmt w:val="decimal"/>
      <w:pPr>
        <w:pBdr/>
        <w:spacing/>
        <w:ind w:hanging="1164" w:left="1872"/>
      </w:pPr>
      <w:rPr>
        <w:rFonts w:eastAsia="Times New Roman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14"/>
  </w:num>
  <w:num w:numId="6">
    <w:abstractNumId w:val="15"/>
  </w:num>
  <w:num w:numId="7">
    <w:abstractNumId w:val="10"/>
  </w:num>
  <w:num w:numId="8">
    <w:abstractNumId w:val="11"/>
  </w:num>
  <w:num w:numId="9">
    <w:abstractNumId w:val="12"/>
  </w:num>
  <w:num w:numId="10">
    <w:abstractNumId w:val="20"/>
  </w:num>
  <w:num w:numId="11">
    <w:abstractNumId w:val="16"/>
  </w:num>
  <w:num w:numId="12">
    <w:abstractNumId w:val="21"/>
  </w:num>
  <w:num w:numId="13">
    <w:abstractNumId w:val="18"/>
  </w:num>
  <w:num w:numId="14">
    <w:abstractNumId w:val="13"/>
  </w:num>
  <w:num w:numId="15">
    <w:abstractNumId w:val="7"/>
  </w:num>
  <w:num w:numId="16">
    <w:abstractNumId w:val="4"/>
  </w:num>
  <w:num w:numId="17">
    <w:abstractNumId w:val="8"/>
  </w:num>
  <w:num w:numId="18">
    <w:abstractNumId w:val="9"/>
  </w:num>
  <w:num w:numId="19">
    <w:abstractNumId w:val="6"/>
  </w:num>
  <w:num w:numId="20">
    <w:abstractNumId w:val="3"/>
  </w:num>
  <w:num w:numId="21">
    <w:abstractNumId w:val="1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Table Grid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Table Grid Light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1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2"/>
    <w:basedOn w:val="76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1 Light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1 Light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2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2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3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3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1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2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3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4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4 - Accent 5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4 - Accent 6"/>
    <w:basedOn w:val="76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5 Dark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5 Dark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6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6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7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7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1 Light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1 Light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2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3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3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4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4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5 Dark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5 Dark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6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6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7 Colorful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7 Colorful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1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2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3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4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ned - Accent 5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ned - Accent 6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1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2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3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4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 &amp; Lined - Accent 5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&amp; Lined - Accent 6"/>
    <w:basedOn w:val="76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1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2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3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4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- Accent 5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- Accent 6"/>
    <w:basedOn w:val="76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0">
    <w:name w:val="Heading 1"/>
    <w:basedOn w:val="952"/>
    <w:next w:val="952"/>
    <w:link w:val="90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1">
    <w:name w:val="Heading 2"/>
    <w:basedOn w:val="952"/>
    <w:next w:val="952"/>
    <w:link w:val="90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2">
    <w:name w:val="Heading 3"/>
    <w:basedOn w:val="952"/>
    <w:next w:val="952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93">
    <w:name w:val="Heading 4"/>
    <w:basedOn w:val="952"/>
    <w:next w:val="952"/>
    <w:link w:val="90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94">
    <w:name w:val="Heading 5"/>
    <w:basedOn w:val="952"/>
    <w:next w:val="952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95">
    <w:name w:val="Heading 6"/>
    <w:basedOn w:val="952"/>
    <w:next w:val="952"/>
    <w:link w:val="90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96">
    <w:name w:val="Heading 7"/>
    <w:basedOn w:val="952"/>
    <w:next w:val="952"/>
    <w:link w:val="90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97">
    <w:name w:val="Heading 8"/>
    <w:basedOn w:val="952"/>
    <w:next w:val="952"/>
    <w:link w:val="90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98">
    <w:name w:val="Heading 9"/>
    <w:basedOn w:val="952"/>
    <w:next w:val="952"/>
    <w:link w:val="90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99" w:default="1">
    <w:name w:val="Default Paragraph Font"/>
    <w:uiPriority w:val="1"/>
    <w:semiHidden/>
    <w:unhideWhenUsed/>
    <w:pPr>
      <w:pBdr/>
      <w:spacing/>
      <w:ind/>
    </w:pPr>
  </w:style>
  <w:style w:type="numbering" w:styleId="900" w:default="1">
    <w:name w:val="No List"/>
    <w:uiPriority w:val="99"/>
    <w:semiHidden/>
    <w:unhideWhenUsed/>
    <w:pPr>
      <w:pBdr/>
      <w:spacing/>
      <w:ind/>
    </w:pPr>
  </w:style>
  <w:style w:type="character" w:styleId="901">
    <w:name w:val="Heading 1 Char"/>
    <w:basedOn w:val="899"/>
    <w:link w:val="8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2">
    <w:name w:val="Heading 2 Char"/>
    <w:basedOn w:val="899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03">
    <w:name w:val="Heading 3 Char"/>
    <w:basedOn w:val="899"/>
    <w:link w:val="8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04">
    <w:name w:val="Heading 4 Char"/>
    <w:basedOn w:val="899"/>
    <w:link w:val="89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05">
    <w:name w:val="Heading 5 Char"/>
    <w:basedOn w:val="899"/>
    <w:link w:val="8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06">
    <w:name w:val="Heading 6 Char"/>
    <w:basedOn w:val="899"/>
    <w:link w:val="8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7">
    <w:name w:val="Heading 7 Char"/>
    <w:basedOn w:val="899"/>
    <w:link w:val="8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8">
    <w:name w:val="Heading 8 Char"/>
    <w:basedOn w:val="899"/>
    <w:link w:val="8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9">
    <w:name w:val="Heading 9 Char"/>
    <w:basedOn w:val="899"/>
    <w:link w:val="8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0">
    <w:name w:val="Title"/>
    <w:basedOn w:val="952"/>
    <w:next w:val="952"/>
    <w:link w:val="91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1">
    <w:name w:val="Title Char"/>
    <w:basedOn w:val="899"/>
    <w:link w:val="9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2">
    <w:name w:val="Subtitle"/>
    <w:basedOn w:val="952"/>
    <w:next w:val="952"/>
    <w:link w:val="91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3">
    <w:name w:val="Subtitle Char"/>
    <w:basedOn w:val="899"/>
    <w:link w:val="9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4">
    <w:name w:val="Quote"/>
    <w:basedOn w:val="952"/>
    <w:next w:val="952"/>
    <w:link w:val="9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5">
    <w:name w:val="Quote Char"/>
    <w:basedOn w:val="899"/>
    <w:link w:val="91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16">
    <w:name w:val="List Paragraph"/>
    <w:basedOn w:val="952"/>
    <w:uiPriority w:val="34"/>
    <w:qFormat/>
    <w:pPr>
      <w:pBdr/>
      <w:spacing/>
      <w:ind w:left="720"/>
      <w:contextualSpacing w:val="true"/>
    </w:pPr>
  </w:style>
  <w:style w:type="character" w:styleId="917">
    <w:name w:val="Intense Emphasis"/>
    <w:basedOn w:val="89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18">
    <w:name w:val="Intense Quote"/>
    <w:basedOn w:val="952"/>
    <w:next w:val="952"/>
    <w:link w:val="9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19">
    <w:name w:val="Intense Quote Char"/>
    <w:basedOn w:val="899"/>
    <w:link w:val="91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0">
    <w:name w:val="Intense Reference"/>
    <w:basedOn w:val="89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1">
    <w:name w:val="No Spacing"/>
    <w:basedOn w:val="952"/>
    <w:uiPriority w:val="1"/>
    <w:qFormat/>
    <w:pPr>
      <w:pBdr/>
      <w:spacing w:after="0" w:line="240" w:lineRule="auto"/>
      <w:ind/>
    </w:pPr>
  </w:style>
  <w:style w:type="character" w:styleId="922">
    <w:name w:val="Subtle Emphasis"/>
    <w:basedOn w:val="89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3">
    <w:name w:val="Emphasis"/>
    <w:basedOn w:val="899"/>
    <w:uiPriority w:val="20"/>
    <w:qFormat/>
    <w:pPr>
      <w:pBdr/>
      <w:spacing/>
      <w:ind/>
    </w:pPr>
    <w:rPr>
      <w:i/>
      <w:iCs/>
    </w:rPr>
  </w:style>
  <w:style w:type="character" w:styleId="924">
    <w:name w:val="Strong"/>
    <w:basedOn w:val="899"/>
    <w:uiPriority w:val="22"/>
    <w:qFormat/>
    <w:pPr>
      <w:pBdr/>
      <w:spacing/>
      <w:ind/>
    </w:pPr>
    <w:rPr>
      <w:b/>
      <w:bCs/>
    </w:rPr>
  </w:style>
  <w:style w:type="character" w:styleId="925">
    <w:name w:val="Subtle Reference"/>
    <w:basedOn w:val="89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6">
    <w:name w:val="Book Title"/>
    <w:basedOn w:val="89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27">
    <w:name w:val="Header"/>
    <w:basedOn w:val="952"/>
    <w:link w:val="92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28">
    <w:name w:val="Header Char"/>
    <w:basedOn w:val="899"/>
    <w:link w:val="927"/>
    <w:uiPriority w:val="99"/>
    <w:pPr>
      <w:pBdr/>
      <w:spacing/>
      <w:ind/>
    </w:pPr>
  </w:style>
  <w:style w:type="paragraph" w:styleId="929">
    <w:name w:val="Footer"/>
    <w:basedOn w:val="952"/>
    <w:link w:val="93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0">
    <w:name w:val="Footer Char"/>
    <w:basedOn w:val="899"/>
    <w:link w:val="929"/>
    <w:uiPriority w:val="99"/>
    <w:pPr>
      <w:pBdr/>
      <w:spacing/>
      <w:ind/>
    </w:pPr>
  </w:style>
  <w:style w:type="paragraph" w:styleId="931">
    <w:name w:val="Caption"/>
    <w:basedOn w:val="952"/>
    <w:next w:val="95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2">
    <w:name w:val="footnote text"/>
    <w:basedOn w:val="952"/>
    <w:link w:val="93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3">
    <w:name w:val="Footnote Text Char"/>
    <w:basedOn w:val="899"/>
    <w:link w:val="932"/>
    <w:uiPriority w:val="99"/>
    <w:semiHidden/>
    <w:pPr>
      <w:pBdr/>
      <w:spacing/>
      <w:ind/>
    </w:pPr>
    <w:rPr>
      <w:sz w:val="20"/>
      <w:szCs w:val="20"/>
    </w:rPr>
  </w:style>
  <w:style w:type="character" w:styleId="934">
    <w:name w:val="footnote reference"/>
    <w:basedOn w:val="899"/>
    <w:uiPriority w:val="99"/>
    <w:semiHidden/>
    <w:unhideWhenUsed/>
    <w:pPr>
      <w:pBdr/>
      <w:spacing/>
      <w:ind/>
    </w:pPr>
    <w:rPr>
      <w:vertAlign w:val="superscript"/>
    </w:rPr>
  </w:style>
  <w:style w:type="paragraph" w:styleId="935">
    <w:name w:val="endnote text"/>
    <w:basedOn w:val="952"/>
    <w:link w:val="93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36">
    <w:name w:val="Endnote Text Char"/>
    <w:basedOn w:val="899"/>
    <w:link w:val="935"/>
    <w:uiPriority w:val="99"/>
    <w:semiHidden/>
    <w:pPr>
      <w:pBdr/>
      <w:spacing/>
      <w:ind/>
    </w:pPr>
    <w:rPr>
      <w:sz w:val="20"/>
      <w:szCs w:val="20"/>
    </w:rPr>
  </w:style>
  <w:style w:type="character" w:styleId="937">
    <w:name w:val="endnote reference"/>
    <w:basedOn w:val="899"/>
    <w:uiPriority w:val="99"/>
    <w:semiHidden/>
    <w:unhideWhenUsed/>
    <w:pPr>
      <w:pBdr/>
      <w:spacing/>
      <w:ind/>
    </w:pPr>
    <w:rPr>
      <w:vertAlign w:val="superscript"/>
    </w:rPr>
  </w:style>
  <w:style w:type="character" w:styleId="938">
    <w:name w:val="Hyperlink"/>
    <w:basedOn w:val="89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9">
    <w:name w:val="FollowedHyperlink"/>
    <w:basedOn w:val="89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0">
    <w:name w:val="toc 1"/>
    <w:basedOn w:val="952"/>
    <w:next w:val="952"/>
    <w:uiPriority w:val="39"/>
    <w:unhideWhenUsed/>
    <w:pPr>
      <w:pBdr/>
      <w:spacing w:after="100"/>
      <w:ind/>
    </w:pPr>
  </w:style>
  <w:style w:type="paragraph" w:styleId="941">
    <w:name w:val="toc 2"/>
    <w:basedOn w:val="952"/>
    <w:next w:val="952"/>
    <w:uiPriority w:val="39"/>
    <w:unhideWhenUsed/>
    <w:pPr>
      <w:pBdr/>
      <w:spacing w:after="100"/>
      <w:ind w:left="220"/>
    </w:pPr>
  </w:style>
  <w:style w:type="paragraph" w:styleId="942">
    <w:name w:val="toc 3"/>
    <w:basedOn w:val="952"/>
    <w:next w:val="952"/>
    <w:uiPriority w:val="39"/>
    <w:unhideWhenUsed/>
    <w:pPr>
      <w:pBdr/>
      <w:spacing w:after="100"/>
      <w:ind w:left="440"/>
    </w:pPr>
  </w:style>
  <w:style w:type="paragraph" w:styleId="943">
    <w:name w:val="toc 4"/>
    <w:basedOn w:val="952"/>
    <w:next w:val="952"/>
    <w:uiPriority w:val="39"/>
    <w:unhideWhenUsed/>
    <w:pPr>
      <w:pBdr/>
      <w:spacing w:after="100"/>
      <w:ind w:left="660"/>
    </w:pPr>
  </w:style>
  <w:style w:type="paragraph" w:styleId="944">
    <w:name w:val="toc 5"/>
    <w:basedOn w:val="952"/>
    <w:next w:val="952"/>
    <w:uiPriority w:val="39"/>
    <w:unhideWhenUsed/>
    <w:pPr>
      <w:pBdr/>
      <w:spacing w:after="100"/>
      <w:ind w:left="880"/>
    </w:pPr>
  </w:style>
  <w:style w:type="paragraph" w:styleId="945">
    <w:name w:val="toc 6"/>
    <w:basedOn w:val="952"/>
    <w:next w:val="952"/>
    <w:uiPriority w:val="39"/>
    <w:unhideWhenUsed/>
    <w:pPr>
      <w:pBdr/>
      <w:spacing w:after="100"/>
      <w:ind w:left="1100"/>
    </w:pPr>
  </w:style>
  <w:style w:type="paragraph" w:styleId="946">
    <w:name w:val="toc 7"/>
    <w:basedOn w:val="952"/>
    <w:next w:val="952"/>
    <w:uiPriority w:val="39"/>
    <w:unhideWhenUsed/>
    <w:pPr>
      <w:pBdr/>
      <w:spacing w:after="100"/>
      <w:ind w:left="1320"/>
    </w:pPr>
  </w:style>
  <w:style w:type="paragraph" w:styleId="947">
    <w:name w:val="toc 8"/>
    <w:basedOn w:val="952"/>
    <w:next w:val="952"/>
    <w:uiPriority w:val="39"/>
    <w:unhideWhenUsed/>
    <w:pPr>
      <w:pBdr/>
      <w:spacing w:after="100"/>
      <w:ind w:left="1540"/>
    </w:pPr>
  </w:style>
  <w:style w:type="paragraph" w:styleId="948">
    <w:name w:val="toc 9"/>
    <w:basedOn w:val="952"/>
    <w:next w:val="952"/>
    <w:uiPriority w:val="39"/>
    <w:unhideWhenUsed/>
    <w:pPr>
      <w:pBdr/>
      <w:spacing w:after="100"/>
      <w:ind w:left="1760"/>
    </w:pPr>
  </w:style>
  <w:style w:type="character" w:styleId="949">
    <w:name w:val="Placeholder Text"/>
    <w:basedOn w:val="899"/>
    <w:uiPriority w:val="99"/>
    <w:semiHidden/>
    <w:pPr>
      <w:pBdr/>
      <w:spacing/>
      <w:ind/>
    </w:pPr>
    <w:rPr>
      <w:color w:val="666666"/>
    </w:rPr>
  </w:style>
  <w:style w:type="paragraph" w:styleId="950">
    <w:name w:val="TOC Heading"/>
    <w:uiPriority w:val="39"/>
    <w:unhideWhenUsed/>
    <w:pPr>
      <w:pBdr/>
      <w:spacing/>
      <w:ind/>
    </w:pPr>
  </w:style>
  <w:style w:type="paragraph" w:styleId="951">
    <w:name w:val="table of figures"/>
    <w:basedOn w:val="952"/>
    <w:next w:val="952"/>
    <w:uiPriority w:val="99"/>
    <w:unhideWhenUsed/>
    <w:pPr>
      <w:pBdr/>
      <w:spacing w:after="0" w:afterAutospacing="0"/>
      <w:ind/>
    </w:pPr>
  </w:style>
  <w:style w:type="paragraph" w:styleId="952" w:default="1">
    <w:name w:val="Normal"/>
    <w:next w:val="952"/>
    <w:link w:val="952"/>
    <w:qFormat/>
    <w:pPr>
      <w:pBdr/>
      <w:spacing/>
      <w:ind/>
    </w:pPr>
    <w:rPr>
      <w:sz w:val="24"/>
      <w:szCs w:val="24"/>
      <w:lang w:val="ru-RU" w:eastAsia="ar-SA" w:bidi="ar-SA"/>
    </w:rPr>
  </w:style>
  <w:style w:type="paragraph" w:styleId="953">
    <w:name w:val="Заголовок 1"/>
    <w:basedOn w:val="952"/>
    <w:next w:val="974"/>
    <w:link w:val="952"/>
    <w:qFormat/>
    <w:pPr>
      <w:numPr>
        <w:ilvl w:val="0"/>
        <w:numId w:val="1"/>
      </w:numPr>
      <w:pBdr/>
      <w:spacing w:after="280" w:before="280"/>
      <w:ind/>
      <w:outlineLvl w:val="0"/>
    </w:pPr>
    <w:rPr>
      <w:b/>
      <w:bCs/>
      <w:sz w:val="48"/>
      <w:szCs w:val="48"/>
    </w:rPr>
  </w:style>
  <w:style w:type="character" w:styleId="954">
    <w:name w:val="Основной шрифт абзаца"/>
    <w:next w:val="954"/>
    <w:link w:val="952"/>
    <w:pPr>
      <w:pBdr/>
      <w:spacing/>
      <w:ind/>
    </w:pPr>
  </w:style>
  <w:style w:type="table" w:styleId="955">
    <w:name w:val="Обычная таблица"/>
    <w:next w:val="955"/>
    <w:link w:val="952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56">
    <w:name w:val="Нет списка"/>
    <w:next w:val="956"/>
    <w:link w:val="952"/>
    <w:uiPriority w:val="99"/>
    <w:semiHidden/>
    <w:unhideWhenUsed/>
    <w:pPr>
      <w:pBdr/>
      <w:spacing/>
      <w:ind/>
    </w:pPr>
  </w:style>
  <w:style w:type="character" w:styleId="957">
    <w:name w:val="WW8Num7z0"/>
    <w:next w:val="957"/>
    <w:link w:val="952"/>
    <w:pPr>
      <w:pBdr/>
      <w:spacing/>
      <w:ind/>
    </w:pPr>
    <w:rPr>
      <w:rFonts w:ascii="Symbol" w:hAnsi="Symbol"/>
    </w:rPr>
  </w:style>
  <w:style w:type="character" w:styleId="958">
    <w:name w:val="WW8Num7z1"/>
    <w:next w:val="958"/>
    <w:link w:val="952"/>
    <w:pPr>
      <w:pBdr/>
      <w:spacing/>
      <w:ind/>
    </w:pPr>
    <w:rPr>
      <w:rFonts w:ascii="Courier New" w:hAnsi="Courier New" w:cs="Courier New"/>
    </w:rPr>
  </w:style>
  <w:style w:type="character" w:styleId="959">
    <w:name w:val="WW8Num7z2"/>
    <w:next w:val="959"/>
    <w:link w:val="952"/>
    <w:pPr>
      <w:pBdr/>
      <w:spacing/>
      <w:ind/>
    </w:pPr>
    <w:rPr>
      <w:rFonts w:ascii="Wingdings" w:hAnsi="Wingdings"/>
    </w:rPr>
  </w:style>
  <w:style w:type="character" w:styleId="960">
    <w:name w:val="WW8Num14z0"/>
    <w:next w:val="960"/>
    <w:link w:val="952"/>
    <w:pPr>
      <w:pBdr/>
      <w:spacing/>
      <w:ind/>
    </w:pPr>
    <w:rPr>
      <w:rFonts w:ascii="Symbol" w:hAnsi="Symbol"/>
      <w:sz w:val="20"/>
    </w:rPr>
  </w:style>
  <w:style w:type="character" w:styleId="961">
    <w:name w:val="WW8Num14z1"/>
    <w:next w:val="961"/>
    <w:link w:val="952"/>
    <w:pPr>
      <w:pBdr/>
      <w:spacing/>
      <w:ind/>
    </w:pPr>
    <w:rPr>
      <w:rFonts w:ascii="Courier New" w:hAnsi="Courier New"/>
      <w:sz w:val="20"/>
    </w:rPr>
  </w:style>
  <w:style w:type="character" w:styleId="962">
    <w:name w:val="WW8Num14z2"/>
    <w:next w:val="962"/>
    <w:link w:val="952"/>
    <w:pPr>
      <w:pBdr/>
      <w:spacing/>
      <w:ind/>
    </w:pPr>
    <w:rPr>
      <w:rFonts w:ascii="Wingdings" w:hAnsi="Wingdings"/>
      <w:sz w:val="20"/>
    </w:rPr>
  </w:style>
  <w:style w:type="character" w:styleId="963">
    <w:name w:val="WW8Num16z0"/>
    <w:next w:val="963"/>
    <w:link w:val="952"/>
    <w:pPr>
      <w:pBdr/>
      <w:spacing/>
      <w:ind/>
    </w:pPr>
    <w:rPr>
      <w:rFonts w:ascii="Times New Roman" w:hAnsi="Times New Roman" w:eastAsia="Times New Roman" w:cs="Times New Roman"/>
      <w:color w:val="000000"/>
    </w:rPr>
  </w:style>
  <w:style w:type="character" w:styleId="964">
    <w:name w:val="Основной шрифт абзаца1"/>
    <w:next w:val="964"/>
    <w:link w:val="952"/>
    <w:pPr>
      <w:pBdr/>
      <w:spacing/>
      <w:ind/>
    </w:pPr>
  </w:style>
  <w:style w:type="character" w:styleId="965">
    <w:name w:val=" Знак Знак3"/>
    <w:next w:val="965"/>
    <w:link w:val="952"/>
    <w:pPr>
      <w:pBdr/>
      <w:spacing/>
      <w:ind/>
    </w:pPr>
    <w:rPr>
      <w:rFonts w:ascii="Tahoma" w:hAnsi="Tahoma" w:cs="Tahoma"/>
      <w:sz w:val="16"/>
      <w:szCs w:val="16"/>
    </w:rPr>
  </w:style>
  <w:style w:type="character" w:styleId="966">
    <w:name w:val=" Знак Знак4"/>
    <w:next w:val="966"/>
    <w:link w:val="952"/>
    <w:pPr>
      <w:pBdr/>
      <w:spacing/>
      <w:ind/>
    </w:pPr>
    <w:rPr>
      <w:b/>
      <w:bCs/>
      <w:sz w:val="48"/>
      <w:szCs w:val="48"/>
    </w:rPr>
  </w:style>
  <w:style w:type="character" w:styleId="967">
    <w:name w:val="bodyarticletext1"/>
    <w:next w:val="967"/>
    <w:link w:val="952"/>
    <w:pPr>
      <w:pBdr/>
      <w:spacing/>
      <w:ind/>
    </w:pPr>
    <w:rPr>
      <w:rFonts w:ascii="Arial" w:hAnsi="Arial" w:cs="Arial"/>
      <w:color w:val="000000"/>
      <w:sz w:val="19"/>
      <w:szCs w:val="19"/>
    </w:rPr>
  </w:style>
  <w:style w:type="character" w:styleId="968">
    <w:name w:val=" Знак Знак2"/>
    <w:next w:val="968"/>
    <w:link w:val="952"/>
    <w:pPr>
      <w:pBdr/>
      <w:spacing/>
      <w:ind/>
    </w:pPr>
    <w:rPr>
      <w:rFonts w:ascii="Courier New" w:hAnsi="Courier New"/>
    </w:rPr>
  </w:style>
  <w:style w:type="character" w:styleId="969">
    <w:name w:val=" Знак Знак1"/>
    <w:next w:val="969"/>
    <w:link w:val="952"/>
    <w:pPr>
      <w:pBdr/>
      <w:spacing/>
      <w:ind/>
    </w:pPr>
    <w:rPr>
      <w:sz w:val="24"/>
      <w:szCs w:val="24"/>
    </w:rPr>
  </w:style>
  <w:style w:type="character" w:styleId="970">
    <w:name w:val=" Знак Знак"/>
    <w:next w:val="970"/>
    <w:link w:val="952"/>
    <w:pPr>
      <w:pBdr/>
      <w:spacing/>
      <w:ind/>
    </w:pPr>
    <w:rPr>
      <w:sz w:val="24"/>
      <w:szCs w:val="24"/>
    </w:rPr>
  </w:style>
  <w:style w:type="character" w:styleId="971">
    <w:name w:val="Маркеры списка"/>
    <w:next w:val="971"/>
    <w:link w:val="952"/>
    <w:pPr>
      <w:pBdr/>
      <w:spacing/>
      <w:ind/>
    </w:pPr>
    <w:rPr>
      <w:rFonts w:ascii="OpenSymbol" w:hAnsi="OpenSymbol" w:eastAsia="OpenSymbol" w:cs="OpenSymbol"/>
    </w:rPr>
  </w:style>
  <w:style w:type="character" w:styleId="972">
    <w:name w:val="Символ нумерации"/>
    <w:next w:val="972"/>
    <w:link w:val="952"/>
    <w:pPr>
      <w:pBdr/>
      <w:spacing/>
      <w:ind/>
    </w:pPr>
  </w:style>
  <w:style w:type="paragraph" w:styleId="973">
    <w:name w:val="Заголовок"/>
    <w:basedOn w:val="952"/>
    <w:next w:val="974"/>
    <w:link w:val="952"/>
    <w:pPr>
      <w:keepNext w:val="true"/>
      <w:pBdr/>
      <w:spacing w:after="120" w:before="240"/>
      <w:ind/>
    </w:pPr>
    <w:rPr>
      <w:rFonts w:ascii="Arial" w:hAnsi="Arial" w:eastAsia="SimSun" w:cs="Mangal"/>
      <w:sz w:val="28"/>
      <w:szCs w:val="28"/>
    </w:rPr>
  </w:style>
  <w:style w:type="paragraph" w:styleId="974">
    <w:name w:val="Основной текст"/>
    <w:basedOn w:val="952"/>
    <w:next w:val="974"/>
    <w:link w:val="952"/>
    <w:pPr>
      <w:pBdr/>
      <w:spacing w:after="120" w:before="0"/>
      <w:ind/>
    </w:pPr>
  </w:style>
  <w:style w:type="paragraph" w:styleId="975">
    <w:name w:val="Список"/>
    <w:basedOn w:val="974"/>
    <w:next w:val="975"/>
    <w:link w:val="952"/>
    <w:pPr>
      <w:pBdr/>
      <w:spacing/>
      <w:ind/>
    </w:pPr>
    <w:rPr>
      <w:rFonts w:cs="Mangal"/>
    </w:rPr>
  </w:style>
  <w:style w:type="paragraph" w:styleId="976">
    <w:name w:val="Название1"/>
    <w:basedOn w:val="952"/>
    <w:next w:val="976"/>
    <w:link w:val="952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977">
    <w:name w:val="Указатель1"/>
    <w:basedOn w:val="952"/>
    <w:next w:val="977"/>
    <w:link w:val="952"/>
    <w:pPr>
      <w:suppressLineNumbers w:val="true"/>
      <w:pBdr/>
      <w:spacing/>
      <w:ind/>
    </w:pPr>
    <w:rPr>
      <w:rFonts w:cs="Mangal"/>
    </w:rPr>
  </w:style>
  <w:style w:type="paragraph" w:styleId="978">
    <w:name w:val="Абзац списка"/>
    <w:basedOn w:val="952"/>
    <w:next w:val="978"/>
    <w:link w:val="952"/>
    <w:qFormat/>
    <w:pPr>
      <w:pBdr/>
      <w:spacing/>
      <w:ind w:right="0" w:firstLine="0" w:left="720"/>
    </w:pPr>
  </w:style>
  <w:style w:type="paragraph" w:styleId="979">
    <w:name w:val="Текст выноски"/>
    <w:basedOn w:val="952"/>
    <w:next w:val="979"/>
    <w:link w:val="952"/>
    <w:pPr>
      <w:pBdr/>
      <w:spacing/>
      <w:ind/>
    </w:pPr>
    <w:rPr>
      <w:rFonts w:ascii="Tahoma" w:hAnsi="Tahoma" w:cs="Tahoma"/>
      <w:sz w:val="16"/>
      <w:szCs w:val="16"/>
    </w:rPr>
  </w:style>
  <w:style w:type="paragraph" w:styleId="980">
    <w:name w:val="Обычный (веб)"/>
    <w:basedOn w:val="952"/>
    <w:next w:val="980"/>
    <w:link w:val="952"/>
    <w:pPr>
      <w:pBdr/>
      <w:spacing w:after="280" w:before="280"/>
      <w:ind/>
    </w:pPr>
  </w:style>
  <w:style w:type="paragraph" w:styleId="981">
    <w:name w:val="Текст1"/>
    <w:basedOn w:val="952"/>
    <w:next w:val="981"/>
    <w:link w:val="952"/>
    <w:pPr>
      <w:pBdr/>
      <w:spacing/>
      <w:ind/>
    </w:pPr>
    <w:rPr>
      <w:rFonts w:ascii="Courier New" w:hAnsi="Courier New"/>
      <w:sz w:val="20"/>
      <w:szCs w:val="20"/>
    </w:rPr>
  </w:style>
  <w:style w:type="paragraph" w:styleId="982">
    <w:name w:val="Верхний колонтитул"/>
    <w:basedOn w:val="952"/>
    <w:next w:val="982"/>
    <w:link w:val="952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83">
    <w:name w:val="Нижний колонтитул"/>
    <w:basedOn w:val="952"/>
    <w:next w:val="983"/>
    <w:link w:val="952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84">
    <w:name w:val="Содержимое таблицы"/>
    <w:basedOn w:val="952"/>
    <w:next w:val="984"/>
    <w:link w:val="952"/>
    <w:pPr>
      <w:suppressLineNumbers w:val="true"/>
      <w:pBdr/>
      <w:spacing/>
      <w:ind/>
    </w:pPr>
  </w:style>
  <w:style w:type="paragraph" w:styleId="985">
    <w:name w:val="Заголовок таблицы"/>
    <w:basedOn w:val="984"/>
    <w:next w:val="985"/>
    <w:link w:val="952"/>
    <w:pPr>
      <w:suppressLineNumbers w:val="true"/>
      <w:pBdr/>
      <w:spacing/>
      <w:ind/>
      <w:jc w:val="center"/>
    </w:pPr>
    <w:rPr>
      <w:b/>
      <w:bCs/>
    </w:rPr>
  </w:style>
  <w:style w:type="paragraph" w:styleId="986">
    <w:name w:val="Без интервала"/>
    <w:next w:val="986"/>
    <w:link w:val="952"/>
    <w:uiPriority w:val="1"/>
    <w:qFormat/>
    <w:pPr>
      <w:pBdr/>
      <w:spacing/>
      <w:ind/>
    </w:pPr>
    <w:rPr>
      <w:rFonts w:ascii="Calibri" w:hAnsi="Calibri" w:eastAsia="Arial" w:cs="Calibri"/>
      <w:sz w:val="22"/>
      <w:szCs w:val="22"/>
      <w:lang w:val="ru-RU" w:eastAsia="ar-SA" w:bidi="ar-SA"/>
    </w:rPr>
  </w:style>
  <w:style w:type="paragraph" w:styleId="987">
    <w:name w:val="Standard"/>
    <w:next w:val="987"/>
    <w:link w:val="952"/>
    <w:pPr>
      <w:widowControl w:val="false"/>
      <w:pBdr/>
      <w:spacing/>
      <w:ind/>
    </w:pPr>
    <w:rPr>
      <w:rFonts w:eastAsia="Arial Unicode MS" w:cs="Mangal"/>
      <w:sz w:val="24"/>
      <w:szCs w:val="24"/>
      <w:lang w:val="ru-RU" w:eastAsia="hi-IN" w:bidi="hi-IN"/>
    </w:rPr>
  </w:style>
  <w:style w:type="character" w:styleId="988">
    <w:name w:val="Строгий"/>
    <w:basedOn w:val="954"/>
    <w:next w:val="988"/>
    <w:link w:val="952"/>
    <w:uiPriority w:val="22"/>
    <w:qFormat/>
    <w:pPr>
      <w:pBdr/>
      <w:spacing/>
      <w:ind/>
    </w:pPr>
    <w:rPr>
      <w:b/>
      <w:bCs/>
    </w:rPr>
  </w:style>
  <w:style w:type="character" w:styleId="989">
    <w:name w:val="apple-converted-space"/>
    <w:basedOn w:val="954"/>
    <w:next w:val="989"/>
    <w:link w:val="952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Hewlett-Packard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Parmeeva_T</dc:creator>
  <cp:revision>10</cp:revision>
  <dcterms:created xsi:type="dcterms:W3CDTF">2026-06-03T13:14:00Z</dcterms:created>
  <dcterms:modified xsi:type="dcterms:W3CDTF">2026-09-11T13:06:51Z</dcterms:modified>
  <cp:version>786432</cp:version>
</cp:coreProperties>
</file>